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854301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8" cy="638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contextualSpacing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504-т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36"/>
        <w:ind w:right="228" w:firstLine="0"/>
        <w:jc w:val="center"/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  <w:color w:val="0000ff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8"/>
        <w:jc w:val="center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приложение № 1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го округа </w:t>
      </w: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828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09 декабря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212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8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09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212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установлении обществу с ограниченной ответственностью «Ямал-Энерго» тарифов на питьевую воду для расчетов с потребителями села Толька муниципального образования муниципальный округ Красноселькупский район Ямало-Ненецкого автономного округа и долгосрочны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х параметров регулирования тарифов, на 2021 - 2025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jc w:val="both"/>
        <w:rPr>
          <w:rFonts w:ascii="Liberation Sans" w:hAnsi="Liberation Sans" w:cs="Liberation Sans"/>
          <w:sz w:val="32"/>
          <w:szCs w:val="32"/>
        </w:rPr>
      </w:pPr>
      <w:r>
        <w:rPr>
          <w:rFonts w:ascii="Liberation Sans" w:hAnsi="Liberation Sans" w:eastAsia="Liberation Serif" w:cs="Liberation Sans"/>
          <w:sz w:val="32"/>
          <w:szCs w:val="32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8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878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504-т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lef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приложение № 1 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jc w:val="center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09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212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</w:p>
    <w:p>
      <w:pPr>
        <w:pStyle w:val="833"/>
        <w:ind w:firstLine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72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Приложение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№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09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212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ПИТЬЕВУЮ ВОДУ, УСТАНОВЛЕННЫЕ ОБЩЕСТВУ С ОГРАНИЧЕННОЙ ОТВЕТСТВЕННОСТЬЮ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«ЯМАЛ-ЭНЕРГО» ДЛЯ РАСЧЕТОВ С ПОТРЕБИТЕЛЯМИ СЕЛА ТОЛЬКА МУНИЦИПАЛЬНОГО ОБРАЗОВАНИЯ 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4"/>
        </w:rPr>
        <w:t xml:space="preserve">, НА 2021 - 2025 ГОДЫ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Таблица 1</w:t>
      </w: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669"/>
        <w:gridCol w:w="2551"/>
        <w:gridCol w:w="60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– 81,47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30.11.2021 – 81,09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01.12.2021 по 31.12.2021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106,23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01.01.2022 по 30.06.2022 – 106,23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01.07.2022 по 30.11.2022 – 127,26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151,93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151,93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151,93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170,99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81,21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83,57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Потребители, имеющие право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33,74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34,88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34,88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– 36,06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39,31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31.12.2023 – 39,31</w:t>
            </w:r>
            <w:bookmarkStart w:id="0" w:name="undefined"/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bookmarkEnd w:id="0"/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39,31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42,45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01.01.2021 по 30.06.2021 – 40,49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01.07.2021 по 31.12.2021 – 41,86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01.01.2022 по 30.06.2022 – 41,86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– 43,28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– 47,17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01.01.2023 по 31.12.2023 – 47,17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47,17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50,94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6" w:type="dxa"/>
            <w:vAlign w:val="center"/>
            <w:textDirection w:val="lrTb"/>
            <w:noWrap w:val="false"/>
          </w:tcPr>
          <w:p>
            <w:pPr>
              <w:ind w:left="142" w:right="0" w:firstLine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142" w:right="0" w:firstLine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</w:t>
      </w:r>
      <w:r>
        <w:rPr>
          <w:rFonts w:ascii="Liberation Sans" w:hAnsi="Liberation Sans" w:eastAsia="Liberation Serif" w:cs="Liberation Sans"/>
        </w:rPr>
        <w:t xml:space="preserve">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</w:t>
      </w:r>
      <w:r>
        <w:rPr>
          <w:rFonts w:ascii="Liberation Sans" w:hAnsi="Liberation Sans" w:eastAsia="Liberation Serif" w:cs="Liberation Sans"/>
        </w:rPr>
        <w:t xml:space="preserve">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</w:rPr>
        <w:t xml:space="preserve">в Ямало-Ненецком автономном округе отдельных государственных полномочий Ямало-Ненецкого автономного округа по предоставлению су</w:t>
      </w:r>
      <w:r>
        <w:rPr>
          <w:rFonts w:ascii="Liberation Sans" w:hAnsi="Liberation Sans" w:eastAsia="Liberation Serif" w:cs="Liberation Sans"/>
        </w:rPr>
        <w:t xml:space="preserve">бсидий на компенсацию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</w:t>
      </w:r>
      <w:r>
        <w:rPr>
          <w:rFonts w:ascii="Liberation Sans" w:hAnsi="Liberation Sans" w:eastAsia="Liberation Serif" w:cs="Liberation Sans"/>
        </w:rPr>
        <w:t xml:space="preserve">и</w:t>
      </w:r>
      <w:r>
        <w:rPr>
          <w:rFonts w:ascii="Liberation Sans" w:hAnsi="Liberation Sans" w:eastAsia="Liberation Serif" w:cs="Liberation Sans"/>
        </w:rPr>
        <w:t xml:space="preserve">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местного самоуправлен</w:t>
      </w:r>
      <w:r>
        <w:rPr>
          <w:rFonts w:ascii="Liberation Sans" w:hAnsi="Liberation Sans" w:eastAsia="Liberation Serif" w:cs="Liberation Sans"/>
        </w:rPr>
        <w:t xml:space="preserve">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&lt;***&gt; Выделяется в </w:t>
      </w:r>
      <w:r>
        <w:rPr>
          <w:rFonts w:ascii="Liberation Sans" w:hAnsi="Liberation Sans" w:eastAsia="Liberation Serif" w:cs="Liberation Sans"/>
        </w:rPr>
        <w:t xml:space="preserve">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 кодекса Российской Федерации (часть вторая).    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</w:rPr>
        <w:t xml:space="preserve">Льготные тарифы на холодную в</w:t>
      </w:r>
      <w:r>
        <w:rPr>
          <w:rFonts w:ascii="Liberation Sans" w:hAnsi="Liberation Sans" w:eastAsia="Liberation Serif" w:cs="Liberation Sans"/>
        </w:rPr>
        <w:t xml:space="preserve">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ind w:left="9923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8"/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720" w:hanging="360"/>
      </w:pPr>
      <w:rPr>
        <w:rFonts w:ascii="PT Astra Serif" w:hAnsi="PT Astra Serif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28"/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28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28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28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28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8"/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8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8"/>
        <w:ind w:left="252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7255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8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uiPriority w:val="39"/>
    <w:unhideWhenUsed/>
    <w:pPr>
      <w:ind w:left="0" w:right="0" w:firstLine="0"/>
      <w:spacing w:after="57"/>
    </w:pPr>
  </w:style>
  <w:style w:type="paragraph" w:styleId="818">
    <w:name w:val="toc 2"/>
    <w:uiPriority w:val="39"/>
    <w:unhideWhenUsed/>
    <w:pPr>
      <w:ind w:left="283" w:right="0" w:firstLine="0"/>
      <w:spacing w:after="57"/>
    </w:pPr>
  </w:style>
  <w:style w:type="paragraph" w:styleId="819">
    <w:name w:val="toc 3"/>
    <w:uiPriority w:val="39"/>
    <w:unhideWhenUsed/>
    <w:pPr>
      <w:ind w:left="567" w:right="0" w:firstLine="0"/>
      <w:spacing w:after="57"/>
    </w:pPr>
  </w:style>
  <w:style w:type="paragraph" w:styleId="820">
    <w:name w:val="toc 4"/>
    <w:uiPriority w:val="39"/>
    <w:unhideWhenUsed/>
    <w:pPr>
      <w:ind w:left="850" w:right="0" w:firstLine="0"/>
      <w:spacing w:after="57"/>
    </w:pPr>
  </w:style>
  <w:style w:type="paragraph" w:styleId="821">
    <w:name w:val="toc 5"/>
    <w:uiPriority w:val="39"/>
    <w:unhideWhenUsed/>
    <w:pPr>
      <w:ind w:left="1134" w:right="0" w:firstLine="0"/>
      <w:spacing w:after="57"/>
    </w:pPr>
  </w:style>
  <w:style w:type="paragraph" w:styleId="822">
    <w:name w:val="toc 6"/>
    <w:uiPriority w:val="39"/>
    <w:unhideWhenUsed/>
    <w:pPr>
      <w:ind w:left="1417" w:right="0" w:firstLine="0"/>
      <w:spacing w:after="57"/>
    </w:pPr>
  </w:style>
  <w:style w:type="paragraph" w:styleId="823">
    <w:name w:val="toc 7"/>
    <w:uiPriority w:val="39"/>
    <w:unhideWhenUsed/>
    <w:pPr>
      <w:ind w:left="1701" w:right="0" w:firstLine="0"/>
      <w:spacing w:after="57"/>
    </w:pPr>
  </w:style>
  <w:style w:type="paragraph" w:styleId="824">
    <w:name w:val="toc 8"/>
    <w:uiPriority w:val="39"/>
    <w:unhideWhenUsed/>
    <w:pPr>
      <w:ind w:left="1984" w:right="0" w:firstLine="0"/>
      <w:spacing w:after="57"/>
    </w:pPr>
  </w:style>
  <w:style w:type="paragraph" w:styleId="825">
    <w:name w:val="toc 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uiPriority w:val="99"/>
    <w:unhideWhenUsed/>
    <w:pPr>
      <w:spacing w:after="0" w:afterAutospacing="0"/>
    </w:pPr>
  </w:style>
  <w:style w:type="paragraph" w:styleId="828">
    <w:name w:val="Обычный"/>
    <w:next w:val="828"/>
    <w:link w:val="828"/>
    <w:rPr>
      <w:sz w:val="24"/>
      <w:szCs w:val="24"/>
      <w:lang w:val="ru-RU" w:eastAsia="ru-RU" w:bidi="ar-SA"/>
    </w:rPr>
  </w:style>
  <w:style w:type="character" w:styleId="829">
    <w:name w:val="Основной шрифт абзаца"/>
    <w:next w:val="829"/>
    <w:link w:val="828"/>
    <w:semiHidden/>
  </w:style>
  <w:style w:type="table" w:styleId="830">
    <w:name w:val="Обычная таблица"/>
    <w:next w:val="830"/>
    <w:link w:val="828"/>
    <w:semiHidden/>
    <w:tblPr/>
  </w:style>
  <w:style w:type="numbering" w:styleId="831">
    <w:name w:val="Нет списка"/>
    <w:next w:val="831"/>
    <w:link w:val="828"/>
    <w:semiHidden/>
  </w:style>
  <w:style w:type="paragraph" w:styleId="832">
    <w:name w:val="Знак Знак Знак Знак"/>
    <w:basedOn w:val="828"/>
    <w:next w:val="832"/>
    <w:link w:val="82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3">
    <w:name w:val="ConsPlusNormal"/>
    <w:next w:val="833"/>
    <w:link w:val="828"/>
    <w:pPr>
      <w:ind w:firstLine="720"/>
    </w:pPr>
    <w:rPr>
      <w:rFonts w:ascii="Arial" w:hAnsi="Arial"/>
      <w:lang w:val="ru-RU" w:eastAsia="ru-RU" w:bidi="ar-SA"/>
    </w:rPr>
  </w:style>
  <w:style w:type="paragraph" w:styleId="834">
    <w:name w:val="ConsPlusCell"/>
    <w:next w:val="834"/>
    <w:link w:val="828"/>
    <w:pPr>
      <w:widowControl w:val="off"/>
    </w:pPr>
    <w:rPr>
      <w:rFonts w:ascii="Arial" w:hAnsi="Arial"/>
      <w:lang w:val="ru-RU" w:eastAsia="ru-RU" w:bidi="ar-SA"/>
    </w:rPr>
  </w:style>
  <w:style w:type="table" w:styleId="835">
    <w:name w:val="Сетка таблицы"/>
    <w:basedOn w:val="830"/>
    <w:next w:val="835"/>
    <w:link w:val="828"/>
    <w:tblPr/>
  </w:style>
  <w:style w:type="paragraph" w:styleId="836">
    <w:name w:val="Основной текст с отступом 2"/>
    <w:basedOn w:val="828"/>
    <w:next w:val="836"/>
    <w:link w:val="838"/>
    <w:pPr>
      <w:ind w:firstLine="720"/>
      <w:jc w:val="both"/>
    </w:pPr>
    <w:rPr>
      <w:sz w:val="28"/>
      <w:lang w:val="en-US" w:eastAsia="en-US"/>
    </w:rPr>
  </w:style>
  <w:style w:type="paragraph" w:styleId="837">
    <w:name w:val="ConsPlusNonformat"/>
    <w:next w:val="837"/>
    <w:link w:val="828"/>
    <w:rPr>
      <w:rFonts w:ascii="Courier New" w:hAnsi="Courier New"/>
      <w:lang w:val="ru-RU" w:eastAsia="ru-RU" w:bidi="ar-SA"/>
    </w:rPr>
  </w:style>
  <w:style w:type="character" w:styleId="838">
    <w:name w:val="Основной текст с отступом 2 Знак"/>
    <w:next w:val="838"/>
    <w:link w:val="836"/>
    <w:rPr>
      <w:sz w:val="28"/>
      <w:szCs w:val="24"/>
    </w:rPr>
  </w:style>
  <w:style w:type="paragraph" w:styleId="839">
    <w:name w:val="Верхний колонтитул"/>
    <w:basedOn w:val="828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Верхний колонтитул Знак"/>
    <w:next w:val="840"/>
    <w:link w:val="839"/>
    <w:rPr>
      <w:sz w:val="24"/>
      <w:szCs w:val="24"/>
    </w:rPr>
  </w:style>
  <w:style w:type="paragraph" w:styleId="841">
    <w:name w:val="Нижний колонтитул"/>
    <w:basedOn w:val="828"/>
    <w:next w:val="841"/>
    <w:link w:val="84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2">
    <w:name w:val="Нижний колонтитул Знак"/>
    <w:next w:val="842"/>
    <w:link w:val="841"/>
    <w:rPr>
      <w:sz w:val="24"/>
      <w:szCs w:val="24"/>
    </w:rPr>
  </w:style>
  <w:style w:type="paragraph" w:styleId="843">
    <w:name w:val="ConsPlusTitle"/>
    <w:next w:val="843"/>
    <w:link w:val="828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4">
    <w:name w:val="Основной текст с отступом"/>
    <w:basedOn w:val="828"/>
    <w:next w:val="844"/>
    <w:link w:val="845"/>
    <w:pPr>
      <w:ind w:left="283"/>
      <w:spacing w:after="120"/>
    </w:pPr>
    <w:rPr>
      <w:lang w:val="en-US" w:eastAsia="en-US"/>
    </w:rPr>
  </w:style>
  <w:style w:type="character" w:styleId="845">
    <w:name w:val="Основной текст с отступом Знак"/>
    <w:next w:val="845"/>
    <w:link w:val="844"/>
    <w:rPr>
      <w:sz w:val="24"/>
      <w:szCs w:val="24"/>
    </w:rPr>
  </w:style>
  <w:style w:type="paragraph" w:styleId="846">
    <w:name w:val="Текст выноски"/>
    <w:basedOn w:val="828"/>
    <w:next w:val="846"/>
    <w:link w:val="847"/>
    <w:rPr>
      <w:rFonts w:ascii="Tahoma" w:hAnsi="Tahoma"/>
      <w:sz w:val="16"/>
      <w:szCs w:val="16"/>
      <w:lang w:val="en-US" w:eastAsia="en-US"/>
    </w:rPr>
  </w:style>
  <w:style w:type="character" w:styleId="847">
    <w:name w:val="Текст выноски Знак"/>
    <w:next w:val="847"/>
    <w:link w:val="846"/>
    <w:rPr>
      <w:rFonts w:ascii="Tahoma" w:hAnsi="Tahoma"/>
      <w:sz w:val="16"/>
      <w:szCs w:val="16"/>
    </w:rPr>
  </w:style>
  <w:style w:type="character" w:styleId="848" w:default="1">
    <w:name w:val="Default Paragraph Font"/>
    <w:uiPriority w:val="1"/>
    <w:semiHidden/>
    <w:unhideWhenUsed/>
  </w:style>
  <w:style w:type="numbering" w:styleId="849" w:default="1">
    <w:name w:val="No List"/>
    <w:uiPriority w:val="99"/>
    <w:semiHidden/>
    <w:unhideWhenUsed/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2023-12-16T11:08:42Z</dcterms:modified>
</cp:coreProperties>
</file>